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C74E9" w14:textId="77777777" w:rsidR="00C973C8" w:rsidRPr="00C973C8" w:rsidRDefault="006D6D18" w:rsidP="006D6D18">
      <w:pPr>
        <w:shd w:val="clear" w:color="auto" w:fill="FFFFFF"/>
        <w:spacing w:line="360" w:lineRule="atLeast"/>
        <w:jc w:val="both"/>
        <w:textAlignment w:val="baseline"/>
        <w:rPr>
          <w:rFonts w:ascii="Century Gothic" w:hAnsi="Century Gothic"/>
          <w:b/>
          <w:bCs/>
          <w:color w:val="ED7D31" w:themeColor="accent2"/>
          <w:sz w:val="28"/>
          <w:szCs w:val="28"/>
          <w:bdr w:val="none" w:sz="0" w:space="0" w:color="auto" w:frame="1"/>
          <w:lang w:eastAsia="en-GB"/>
        </w:rPr>
      </w:pPr>
      <w:r w:rsidRPr="00C973C8">
        <w:rPr>
          <w:rFonts w:ascii="Century Gothic" w:hAnsi="Century Gothic"/>
          <w:b/>
          <w:bCs/>
          <w:color w:val="ED7D31" w:themeColor="accent2"/>
          <w:sz w:val="28"/>
          <w:szCs w:val="28"/>
          <w:bdr w:val="none" w:sz="0" w:space="0" w:color="auto" w:frame="1"/>
          <w:lang w:eastAsia="en-GB"/>
        </w:rPr>
        <w:t xml:space="preserve">Information sharing advice for safeguarding practitioners </w:t>
      </w:r>
    </w:p>
    <w:p w14:paraId="5CAC1C3C" w14:textId="038C6B49" w:rsidR="006D6D18" w:rsidRPr="00C973C8" w:rsidRDefault="006D6D18" w:rsidP="006D6D18">
      <w:pPr>
        <w:shd w:val="clear" w:color="auto" w:fill="FFFFFF"/>
        <w:spacing w:line="360" w:lineRule="atLeast"/>
        <w:jc w:val="both"/>
        <w:textAlignment w:val="baseline"/>
        <w:rPr>
          <w:rFonts w:ascii="Century Gothic" w:hAnsi="Century Gothic"/>
          <w:b/>
          <w:bCs/>
          <w:color w:val="ED7D31" w:themeColor="accent2"/>
          <w:sz w:val="28"/>
          <w:szCs w:val="28"/>
          <w:bdr w:val="none" w:sz="0" w:space="0" w:color="auto" w:frame="1"/>
          <w:lang w:eastAsia="en-GB"/>
        </w:rPr>
      </w:pPr>
      <w:r w:rsidRPr="00C973C8">
        <w:rPr>
          <w:rFonts w:ascii="Century Gothic" w:hAnsi="Century Gothic"/>
          <w:b/>
          <w:bCs/>
          <w:color w:val="ED7D31" w:themeColor="accent2"/>
          <w:sz w:val="28"/>
          <w:szCs w:val="28"/>
          <w:bdr w:val="none" w:sz="0" w:space="0" w:color="auto" w:frame="1"/>
          <w:lang w:eastAsia="en-GB"/>
        </w:rPr>
        <w:t>(CPSU document)</w:t>
      </w:r>
    </w:p>
    <w:p w14:paraId="48B48816" w14:textId="77777777" w:rsidR="006D6D18" w:rsidRPr="00C973C8" w:rsidRDefault="006D6D18" w:rsidP="006D6D18">
      <w:pPr>
        <w:shd w:val="clear" w:color="auto" w:fill="FFFFFF"/>
        <w:spacing w:line="360" w:lineRule="atLeast"/>
        <w:jc w:val="both"/>
        <w:textAlignment w:val="baseline"/>
        <w:rPr>
          <w:rFonts w:ascii="Century Gothic" w:hAnsi="Century Gothic"/>
          <w:b/>
          <w:bCs/>
          <w:sz w:val="22"/>
          <w:szCs w:val="22"/>
          <w:bdr w:val="none" w:sz="0" w:space="0" w:color="auto" w:frame="1"/>
          <w:lang w:eastAsia="en-GB"/>
        </w:rPr>
      </w:pPr>
    </w:p>
    <w:p w14:paraId="51C40C7A" w14:textId="77777777" w:rsidR="006D6D18" w:rsidRPr="00C973C8" w:rsidRDefault="006D6D18" w:rsidP="006D6D18">
      <w:pPr>
        <w:shd w:val="clear" w:color="auto" w:fill="FFFFFF"/>
        <w:spacing w:line="360" w:lineRule="atLeast"/>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Why is information sharing guidance important? Because child protection and safeguarding involves sensitive information that directly affects the welfare of children and young people. </w:t>
      </w:r>
    </w:p>
    <w:p w14:paraId="691F86A0" w14:textId="77777777" w:rsidR="006D6D18" w:rsidRPr="00C973C8" w:rsidRDefault="006D6D18" w:rsidP="006D6D18">
      <w:pPr>
        <w:shd w:val="clear" w:color="auto" w:fill="FFFFFF"/>
        <w:spacing w:after="300" w:line="360" w:lineRule="atLeast"/>
        <w:jc w:val="both"/>
        <w:textAlignment w:val="baseline"/>
        <w:rPr>
          <w:rFonts w:ascii="Century Gothic" w:hAnsi="Century Gothic"/>
          <w:sz w:val="22"/>
          <w:szCs w:val="22"/>
          <w:lang w:eastAsia="en-GB"/>
        </w:rPr>
      </w:pPr>
      <w:r w:rsidRPr="00C973C8">
        <w:rPr>
          <w:rFonts w:ascii="Century Gothic" w:hAnsi="Century Gothic"/>
          <w:sz w:val="22"/>
          <w:szCs w:val="22"/>
          <w:lang w:eastAsia="en-GB"/>
        </w:rPr>
        <w:t>To keep these children safe, information needs to be shared appropriately so that decisions can be made to protect them. </w:t>
      </w:r>
    </w:p>
    <w:p w14:paraId="797C8DF3" w14:textId="77777777" w:rsidR="006D6D18" w:rsidRPr="00C973C8" w:rsidRDefault="006D6D18" w:rsidP="006D6D18">
      <w:pPr>
        <w:shd w:val="clear" w:color="auto" w:fill="FFFFFF"/>
        <w:spacing w:after="300" w:line="360" w:lineRule="atLeast"/>
        <w:jc w:val="both"/>
        <w:textAlignment w:val="baseline"/>
        <w:rPr>
          <w:rFonts w:ascii="Century Gothic" w:hAnsi="Century Gothic"/>
          <w:sz w:val="22"/>
          <w:szCs w:val="22"/>
          <w:lang w:eastAsia="en-GB"/>
        </w:rPr>
      </w:pPr>
      <w:r w:rsidRPr="00C973C8">
        <w:rPr>
          <w:rFonts w:ascii="Century Gothic" w:hAnsi="Century Gothic"/>
          <w:sz w:val="22"/>
          <w:szCs w:val="22"/>
          <w:lang w:eastAsia="en-GB"/>
        </w:rPr>
        <w:t>However, clear boundaries around information sharing are important to maintain confidentiality where appropriate and to ensure that only those who need the information are made aware of it.</w:t>
      </w:r>
    </w:p>
    <w:p w14:paraId="3A5E9DB6" w14:textId="77777777" w:rsidR="006D6D18" w:rsidRPr="00C973C8" w:rsidRDefault="006D6D18" w:rsidP="006D6D18">
      <w:pPr>
        <w:shd w:val="clear" w:color="auto" w:fill="FFFFFF"/>
        <w:spacing w:line="312" w:lineRule="atLeast"/>
        <w:jc w:val="both"/>
        <w:textAlignment w:val="baseline"/>
        <w:outlineLvl w:val="3"/>
        <w:rPr>
          <w:rFonts w:ascii="Century Gothic" w:hAnsi="Century Gothic"/>
          <w:b/>
          <w:bCs/>
          <w:sz w:val="22"/>
          <w:szCs w:val="22"/>
          <w:lang w:eastAsia="en-GB"/>
        </w:rPr>
      </w:pPr>
      <w:r w:rsidRPr="00C973C8">
        <w:rPr>
          <w:rFonts w:ascii="Century Gothic" w:hAnsi="Century Gothic"/>
          <w:b/>
          <w:bCs/>
          <w:sz w:val="22"/>
          <w:szCs w:val="22"/>
          <w:bdr w:val="none" w:sz="0" w:space="0" w:color="auto" w:frame="1"/>
          <w:lang w:eastAsia="en-GB"/>
        </w:rPr>
        <w:t>What information to share</w:t>
      </w:r>
    </w:p>
    <w:p w14:paraId="5AD52176" w14:textId="77777777" w:rsidR="006D6D18" w:rsidRPr="00C973C8" w:rsidRDefault="006D6D18" w:rsidP="006D6D18">
      <w:pPr>
        <w:shd w:val="clear" w:color="auto" w:fill="FFFFFF"/>
        <w:spacing w:after="300" w:line="360" w:lineRule="atLeast"/>
        <w:jc w:val="both"/>
        <w:textAlignment w:val="baseline"/>
        <w:rPr>
          <w:rFonts w:ascii="Century Gothic" w:hAnsi="Century Gothic"/>
          <w:sz w:val="22"/>
          <w:szCs w:val="22"/>
          <w:lang w:eastAsia="en-GB"/>
        </w:rPr>
      </w:pPr>
      <w:r w:rsidRPr="00C973C8">
        <w:rPr>
          <w:rFonts w:ascii="Century Gothic" w:hAnsi="Century Gothic"/>
          <w:sz w:val="22"/>
          <w:szCs w:val="22"/>
          <w:lang w:eastAsia="en-GB"/>
        </w:rPr>
        <w:t>Whenever a sports organisation receives information that raises concerns about a child or children, decisions need to be made about information sharing.  This could include:</w:t>
      </w:r>
    </w:p>
    <w:p w14:paraId="3D719D9C" w14:textId="77777777" w:rsidR="006D6D18" w:rsidRPr="00C973C8" w:rsidRDefault="006D6D18" w:rsidP="006D6D18">
      <w:pPr>
        <w:numPr>
          <w:ilvl w:val="0"/>
          <w:numId w:val="1"/>
        </w:numPr>
        <w:shd w:val="clear" w:color="auto" w:fill="FFFFFF"/>
        <w:spacing w:after="150" w:line="312" w:lineRule="atLeast"/>
        <w:ind w:left="300"/>
        <w:jc w:val="both"/>
        <w:textAlignment w:val="baseline"/>
        <w:rPr>
          <w:rFonts w:ascii="Century Gothic" w:hAnsi="Century Gothic"/>
          <w:sz w:val="22"/>
          <w:szCs w:val="22"/>
          <w:lang w:eastAsia="en-GB"/>
        </w:rPr>
      </w:pPr>
      <w:r w:rsidRPr="00C973C8">
        <w:rPr>
          <w:rFonts w:ascii="Century Gothic" w:hAnsi="Century Gothic"/>
          <w:sz w:val="22"/>
          <w:szCs w:val="22"/>
          <w:lang w:eastAsia="en-GB"/>
        </w:rPr>
        <w:t>concerns about a child received within or outside the sport</w:t>
      </w:r>
    </w:p>
    <w:p w14:paraId="4AB8392C" w14:textId="77777777" w:rsidR="006D6D18" w:rsidRPr="00C973C8" w:rsidRDefault="006D6D18" w:rsidP="006D6D18">
      <w:pPr>
        <w:numPr>
          <w:ilvl w:val="0"/>
          <w:numId w:val="1"/>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sz w:val="22"/>
          <w:szCs w:val="22"/>
          <w:lang w:eastAsia="en-GB"/>
        </w:rPr>
        <w:t>concerns about a person in a position of trust, such as a coach – this could include information on a </w:t>
      </w:r>
      <w:hyperlink r:id="rId8" w:tgtFrame="_blank" w:history="1">
        <w:r w:rsidRPr="00C973C8">
          <w:rPr>
            <w:rFonts w:ascii="Century Gothic" w:hAnsi="Century Gothic"/>
            <w:b/>
            <w:bCs/>
            <w:sz w:val="22"/>
            <w:szCs w:val="22"/>
            <w:bdr w:val="none" w:sz="0" w:space="0" w:color="auto" w:frame="1"/>
            <w:lang w:eastAsia="en-GB"/>
          </w:rPr>
          <w:t>Disclosure &amp; Barring Service (DBS) check</w:t>
        </w:r>
      </w:hyperlink>
    </w:p>
    <w:p w14:paraId="18761C1D" w14:textId="77777777" w:rsidR="006D6D18" w:rsidRPr="00C973C8" w:rsidRDefault="006D6D18" w:rsidP="006D6D18">
      <w:pPr>
        <w:numPr>
          <w:ilvl w:val="0"/>
          <w:numId w:val="1"/>
        </w:numPr>
        <w:shd w:val="clear" w:color="auto" w:fill="FFFFFF"/>
        <w:spacing w:after="150" w:line="312" w:lineRule="atLeast"/>
        <w:ind w:left="300"/>
        <w:jc w:val="both"/>
        <w:textAlignment w:val="baseline"/>
        <w:rPr>
          <w:rFonts w:ascii="Century Gothic" w:hAnsi="Century Gothic"/>
          <w:sz w:val="22"/>
          <w:szCs w:val="22"/>
          <w:lang w:eastAsia="en-GB"/>
        </w:rPr>
      </w:pPr>
      <w:r w:rsidRPr="00C973C8">
        <w:rPr>
          <w:rFonts w:ascii="Century Gothic" w:hAnsi="Century Gothic"/>
          <w:sz w:val="22"/>
          <w:szCs w:val="22"/>
          <w:lang w:eastAsia="en-GB"/>
        </w:rPr>
        <w:t>concerns about a member of a sports club</w:t>
      </w:r>
    </w:p>
    <w:p w14:paraId="062130D2" w14:textId="77777777" w:rsidR="006D6D18" w:rsidRPr="00C973C8" w:rsidRDefault="006D6D18" w:rsidP="006D6D18">
      <w:pPr>
        <w:numPr>
          <w:ilvl w:val="0"/>
          <w:numId w:val="1"/>
        </w:numPr>
        <w:shd w:val="clear" w:color="auto" w:fill="FFFFFF"/>
        <w:spacing w:after="240" w:line="312" w:lineRule="atLeast"/>
        <w:ind w:left="300"/>
        <w:jc w:val="both"/>
        <w:textAlignment w:val="baseline"/>
        <w:rPr>
          <w:rFonts w:ascii="Century Gothic" w:hAnsi="Century Gothic"/>
          <w:sz w:val="22"/>
          <w:szCs w:val="22"/>
          <w:lang w:eastAsia="en-GB"/>
        </w:rPr>
      </w:pPr>
      <w:r w:rsidRPr="00C973C8">
        <w:rPr>
          <w:rFonts w:ascii="Century Gothic" w:hAnsi="Century Gothic"/>
          <w:sz w:val="22"/>
          <w:szCs w:val="22"/>
          <w:lang w:eastAsia="en-GB"/>
        </w:rPr>
        <w:t>concerns about a sports environment, such as an event location or hosting arrangements</w:t>
      </w:r>
    </w:p>
    <w:p w14:paraId="425AA92D" w14:textId="77777777" w:rsidR="006D6D18" w:rsidRPr="00C973C8" w:rsidRDefault="006D6D18" w:rsidP="006D6D18">
      <w:pPr>
        <w:shd w:val="clear" w:color="auto" w:fill="FFFFFF"/>
        <w:spacing w:line="312" w:lineRule="atLeast"/>
        <w:jc w:val="both"/>
        <w:textAlignment w:val="baseline"/>
        <w:outlineLvl w:val="3"/>
        <w:rPr>
          <w:rFonts w:ascii="Century Gothic" w:hAnsi="Century Gothic"/>
          <w:b/>
          <w:bCs/>
          <w:sz w:val="22"/>
          <w:szCs w:val="22"/>
          <w:lang w:eastAsia="en-GB"/>
        </w:rPr>
      </w:pPr>
      <w:r w:rsidRPr="00C973C8">
        <w:rPr>
          <w:rFonts w:ascii="Century Gothic" w:hAnsi="Century Gothic"/>
          <w:b/>
          <w:bCs/>
          <w:sz w:val="22"/>
          <w:szCs w:val="22"/>
          <w:bdr w:val="none" w:sz="0" w:space="0" w:color="auto" w:frame="1"/>
          <w:lang w:eastAsia="en-GB"/>
        </w:rPr>
        <w:t>Key principles for deciding what to share</w:t>
      </w:r>
    </w:p>
    <w:p w14:paraId="2B1908BA" w14:textId="77777777" w:rsidR="006D6D18" w:rsidRPr="00C973C8" w:rsidRDefault="006D6D18" w:rsidP="006D6D18">
      <w:pPr>
        <w:shd w:val="clear" w:color="auto" w:fill="FFFFFF"/>
        <w:spacing w:line="360" w:lineRule="atLeast"/>
        <w:jc w:val="both"/>
        <w:textAlignment w:val="baseline"/>
        <w:rPr>
          <w:rFonts w:ascii="Century Gothic" w:hAnsi="Century Gothic"/>
          <w:sz w:val="22"/>
          <w:szCs w:val="22"/>
          <w:lang w:eastAsia="en-GB"/>
        </w:rPr>
      </w:pPr>
      <w:r w:rsidRPr="00C973C8">
        <w:rPr>
          <w:rFonts w:ascii="Century Gothic" w:hAnsi="Century Gothic"/>
          <w:sz w:val="22"/>
          <w:szCs w:val="22"/>
          <w:lang w:eastAsia="en-GB"/>
        </w:rPr>
        <w:t>The Government guidance, </w:t>
      </w:r>
      <w:hyperlink r:id="rId9" w:tgtFrame="_blank" w:history="1">
        <w:r w:rsidRPr="00C973C8">
          <w:rPr>
            <w:rFonts w:ascii="Century Gothic" w:hAnsi="Century Gothic"/>
            <w:b/>
            <w:bCs/>
            <w:sz w:val="22"/>
            <w:szCs w:val="22"/>
            <w:bdr w:val="none" w:sz="0" w:space="0" w:color="auto" w:frame="1"/>
            <w:lang w:eastAsia="en-GB"/>
          </w:rPr>
          <w:t>Information sharing advice for safeguarding practitioners</w:t>
        </w:r>
      </w:hyperlink>
      <w:r w:rsidRPr="00C973C8">
        <w:rPr>
          <w:rFonts w:ascii="Century Gothic" w:hAnsi="Century Gothic"/>
          <w:b/>
          <w:bCs/>
          <w:sz w:val="22"/>
          <w:szCs w:val="22"/>
          <w:bdr w:val="none" w:sz="0" w:space="0" w:color="auto" w:frame="1"/>
          <w:lang w:eastAsia="en-GB"/>
        </w:rPr>
        <w:t>,</w:t>
      </w:r>
      <w:r w:rsidRPr="00C973C8">
        <w:rPr>
          <w:rFonts w:ascii="Century Gothic" w:hAnsi="Century Gothic"/>
          <w:sz w:val="22"/>
          <w:szCs w:val="22"/>
          <w:lang w:eastAsia="en-GB"/>
        </w:rPr>
        <w:t> describes the ‘7 Golden Rules’ of information sharing:</w:t>
      </w:r>
    </w:p>
    <w:p w14:paraId="7A709831" w14:textId="77777777" w:rsidR="006D6D18" w:rsidRPr="00C973C8" w:rsidRDefault="006D6D18" w:rsidP="006D6D18">
      <w:pPr>
        <w:numPr>
          <w:ilvl w:val="0"/>
          <w:numId w:val="2"/>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Remember that the Data Protection Act 2018 and human rights law are not barriers </w:t>
      </w:r>
      <w:r w:rsidRPr="00C973C8">
        <w:rPr>
          <w:rFonts w:ascii="Century Gothic" w:hAnsi="Century Gothic"/>
          <w:sz w:val="22"/>
          <w:szCs w:val="22"/>
          <w:lang w:eastAsia="en-GB"/>
        </w:rPr>
        <w:t>to justified information sharing, but provide a framework to ensure that personal information about living individuals is shared appropriately.</w:t>
      </w:r>
    </w:p>
    <w:p w14:paraId="4C8B7AB9" w14:textId="77777777" w:rsidR="006D6D18" w:rsidRPr="00C973C8" w:rsidRDefault="006D6D18" w:rsidP="006D6D18">
      <w:pPr>
        <w:numPr>
          <w:ilvl w:val="0"/>
          <w:numId w:val="2"/>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Be open and honest with the individual</w:t>
      </w:r>
      <w:r w:rsidRPr="00C973C8">
        <w:rPr>
          <w:rFonts w:ascii="Century Gothic" w:hAnsi="Century Gothic"/>
          <w:sz w:val="22"/>
          <w:szCs w:val="22"/>
          <w:lang w:eastAsia="en-GB"/>
        </w:rPr>
        <w:t> (and/or their family where appropriate) from the outset about why, what, how and with whom information will, or could be shared, and seek their agreement, unless it is unsafe or inappropriate to do so.</w:t>
      </w:r>
    </w:p>
    <w:p w14:paraId="1DEFECD7" w14:textId="77777777" w:rsidR="006D6D18" w:rsidRPr="00C973C8" w:rsidRDefault="006D6D18" w:rsidP="006D6D18">
      <w:pPr>
        <w:numPr>
          <w:ilvl w:val="0"/>
          <w:numId w:val="2"/>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Seek advice from other practitioners</w:t>
      </w:r>
      <w:r w:rsidRPr="00C973C8">
        <w:rPr>
          <w:rFonts w:ascii="Century Gothic" w:hAnsi="Century Gothic"/>
          <w:sz w:val="22"/>
          <w:szCs w:val="22"/>
          <w:lang w:eastAsia="en-GB"/>
        </w:rPr>
        <w:t> if you are in any doubt about sharing the information concerned, without disclosing the identity of the individual where possible.</w:t>
      </w:r>
    </w:p>
    <w:p w14:paraId="185DC196" w14:textId="77777777" w:rsidR="006D6D18" w:rsidRPr="00C973C8" w:rsidRDefault="006D6D18" w:rsidP="006D6D18">
      <w:pPr>
        <w:numPr>
          <w:ilvl w:val="0"/>
          <w:numId w:val="2"/>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Share with informed consent where appropriate</w:t>
      </w:r>
      <w:r w:rsidRPr="00C973C8">
        <w:rPr>
          <w:rFonts w:ascii="Century Gothic" w:hAnsi="Century Gothic"/>
          <w:sz w:val="22"/>
          <w:szCs w:val="22"/>
          <w:lang w:eastAsia="en-GB"/>
        </w:rPr>
        <w:t> and, where possible, respect the wishes of those who do not consent to share confidential information. You may still share information without consent if, in your judgement, there is good reason to do so, such as where safety may be at risk.</w:t>
      </w:r>
    </w:p>
    <w:p w14:paraId="5FD843EC" w14:textId="77777777" w:rsidR="006D6D18" w:rsidRPr="00C973C8" w:rsidRDefault="006D6D18" w:rsidP="006D6D18">
      <w:pPr>
        <w:numPr>
          <w:ilvl w:val="0"/>
          <w:numId w:val="2"/>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lastRenderedPageBreak/>
        <w:t>Consider safety and well-being</w:t>
      </w:r>
      <w:r w:rsidRPr="00C973C8">
        <w:rPr>
          <w:rFonts w:ascii="Century Gothic" w:hAnsi="Century Gothic"/>
          <w:sz w:val="22"/>
          <w:szCs w:val="22"/>
          <w:lang w:eastAsia="en-GB"/>
        </w:rPr>
        <w:t>: Base your information sharing decisions on considerations of the safety and well-being of the individual and others who may be affected by their actions.</w:t>
      </w:r>
    </w:p>
    <w:p w14:paraId="06B2A9ED" w14:textId="77777777" w:rsidR="006D6D18" w:rsidRPr="00C973C8" w:rsidRDefault="006D6D18" w:rsidP="006D6D18">
      <w:pPr>
        <w:numPr>
          <w:ilvl w:val="0"/>
          <w:numId w:val="2"/>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Necessary, proportionate, relevant, adequate, accurate, timely and secure</w:t>
      </w:r>
      <w:r w:rsidRPr="00C973C8">
        <w:rPr>
          <w:rFonts w:ascii="Century Gothic" w:hAnsi="Century Gothic"/>
          <w:sz w:val="22"/>
          <w:szCs w:val="22"/>
          <w:lang w:eastAsia="en-GB"/>
        </w:rPr>
        <w:t>: Ensure that the information you share is necessary for the purpose for which you are sharing it, is shared only with those individuals who need to have it, is accurate and up-to-date, is shared in a timely fashion, and is shared securely.</w:t>
      </w:r>
    </w:p>
    <w:p w14:paraId="0F2D9FE0" w14:textId="77777777" w:rsidR="006D6D18" w:rsidRPr="00C973C8" w:rsidRDefault="006D6D18" w:rsidP="006D6D18">
      <w:pPr>
        <w:numPr>
          <w:ilvl w:val="0"/>
          <w:numId w:val="2"/>
        </w:numPr>
        <w:shd w:val="clear" w:color="auto" w:fill="FFFFFF"/>
        <w:spacing w:after="240"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Keep a record of your decision and the reasons for it</w:t>
      </w:r>
      <w:r w:rsidRPr="00C973C8">
        <w:rPr>
          <w:rFonts w:ascii="Century Gothic" w:hAnsi="Century Gothic"/>
          <w:sz w:val="22"/>
          <w:szCs w:val="22"/>
          <w:lang w:eastAsia="en-GB"/>
        </w:rPr>
        <w:t> – whether it is to share information or not. If you decide to share, then record what you have shared, with whom and for what purpose.</w:t>
      </w:r>
    </w:p>
    <w:p w14:paraId="645AFF62" w14:textId="77777777" w:rsidR="006D6D18" w:rsidRPr="00C973C8" w:rsidRDefault="006D6D18" w:rsidP="006D6D18">
      <w:pPr>
        <w:shd w:val="clear" w:color="auto" w:fill="FFFFFF"/>
        <w:spacing w:line="312" w:lineRule="atLeast"/>
        <w:jc w:val="both"/>
        <w:textAlignment w:val="baseline"/>
        <w:outlineLvl w:val="3"/>
        <w:rPr>
          <w:rFonts w:ascii="Century Gothic" w:hAnsi="Century Gothic"/>
          <w:b/>
          <w:bCs/>
          <w:sz w:val="22"/>
          <w:szCs w:val="22"/>
          <w:lang w:eastAsia="en-GB"/>
        </w:rPr>
      </w:pPr>
      <w:r w:rsidRPr="00C973C8">
        <w:rPr>
          <w:rFonts w:ascii="Century Gothic" w:hAnsi="Century Gothic"/>
          <w:b/>
          <w:bCs/>
          <w:sz w:val="22"/>
          <w:szCs w:val="22"/>
          <w:bdr w:val="none" w:sz="0" w:space="0" w:color="auto" w:frame="1"/>
          <w:lang w:eastAsia="en-GB"/>
        </w:rPr>
        <w:t>Who to share information with</w:t>
      </w:r>
    </w:p>
    <w:p w14:paraId="1204367C" w14:textId="77777777" w:rsidR="006D6D18" w:rsidRPr="00C973C8" w:rsidRDefault="006D6D18" w:rsidP="006D6D18">
      <w:pPr>
        <w:shd w:val="clear" w:color="auto" w:fill="FFFFFF"/>
        <w:spacing w:after="300" w:line="360" w:lineRule="atLeast"/>
        <w:jc w:val="both"/>
        <w:textAlignment w:val="baseline"/>
        <w:rPr>
          <w:rFonts w:ascii="Century Gothic" w:hAnsi="Century Gothic"/>
          <w:sz w:val="22"/>
          <w:szCs w:val="22"/>
          <w:lang w:eastAsia="en-GB"/>
        </w:rPr>
      </w:pPr>
      <w:r w:rsidRPr="00C973C8">
        <w:rPr>
          <w:rFonts w:ascii="Century Gothic" w:hAnsi="Century Gothic"/>
          <w:sz w:val="22"/>
          <w:szCs w:val="22"/>
          <w:lang w:eastAsia="en-GB"/>
        </w:rPr>
        <w:t>Part of the decision-making process will include consideration about who to share information with. This could include:</w:t>
      </w:r>
    </w:p>
    <w:p w14:paraId="46AAEB65" w14:textId="77777777" w:rsidR="006D6D18" w:rsidRPr="00C973C8" w:rsidRDefault="006D6D18" w:rsidP="006D6D18">
      <w:pPr>
        <w:numPr>
          <w:ilvl w:val="0"/>
          <w:numId w:val="3"/>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Statutory organisations</w:t>
      </w:r>
      <w:r w:rsidRPr="00C973C8">
        <w:rPr>
          <w:rFonts w:ascii="Century Gothic" w:hAnsi="Century Gothic"/>
          <w:sz w:val="22"/>
          <w:szCs w:val="22"/>
          <w:lang w:eastAsia="en-GB"/>
        </w:rPr>
        <w:t> – the Police and/or Children’s Services must be informed about child protection concerns; Designated Officers should be consulted where there are concerns about someone in a position of trust.</w:t>
      </w:r>
    </w:p>
    <w:p w14:paraId="26154BF2" w14:textId="77777777" w:rsidR="006D6D18" w:rsidRPr="00C973C8" w:rsidRDefault="006D6D18" w:rsidP="006D6D18">
      <w:pPr>
        <w:numPr>
          <w:ilvl w:val="0"/>
          <w:numId w:val="3"/>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Disclosure &amp; Barring Service</w:t>
      </w:r>
      <w:r w:rsidRPr="00C973C8">
        <w:rPr>
          <w:rFonts w:ascii="Century Gothic" w:hAnsi="Century Gothic"/>
          <w:sz w:val="22"/>
          <w:szCs w:val="22"/>
          <w:lang w:eastAsia="en-GB"/>
        </w:rPr>
        <w:t> – must be informed of any concerns about someone in regulated activity who is suspended or expelled from the organisation.</w:t>
      </w:r>
    </w:p>
    <w:p w14:paraId="1A0F5CFB" w14:textId="77777777" w:rsidR="006D6D18" w:rsidRPr="00C973C8" w:rsidRDefault="006D6D18" w:rsidP="006D6D18">
      <w:pPr>
        <w:numPr>
          <w:ilvl w:val="0"/>
          <w:numId w:val="3"/>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Other clubs and other sports organisations</w:t>
      </w:r>
      <w:r w:rsidRPr="00C973C8">
        <w:rPr>
          <w:rFonts w:ascii="Century Gothic" w:hAnsi="Century Gothic"/>
          <w:sz w:val="22"/>
          <w:szCs w:val="22"/>
          <w:lang w:eastAsia="en-GB"/>
        </w:rPr>
        <w:t> – informing other organisations need to be considered according to the principles below in order that they can safeguard children in their care who may be at risk of harm.</w:t>
      </w:r>
    </w:p>
    <w:p w14:paraId="5A6EC965" w14:textId="77777777" w:rsidR="006D6D18" w:rsidRPr="00C973C8" w:rsidRDefault="006D6D18" w:rsidP="006D6D18">
      <w:pPr>
        <w:numPr>
          <w:ilvl w:val="0"/>
          <w:numId w:val="3"/>
        </w:numPr>
        <w:shd w:val="clear" w:color="auto" w:fill="FFFFFF"/>
        <w:spacing w:line="312" w:lineRule="atLeast"/>
        <w:ind w:left="300"/>
        <w:jc w:val="both"/>
        <w:textAlignment w:val="baseline"/>
        <w:rPr>
          <w:rFonts w:ascii="Century Gothic" w:hAnsi="Century Gothic"/>
          <w:sz w:val="22"/>
          <w:szCs w:val="22"/>
          <w:lang w:eastAsia="en-GB"/>
        </w:rPr>
      </w:pPr>
      <w:r w:rsidRPr="00C973C8">
        <w:rPr>
          <w:rFonts w:ascii="Century Gothic" w:hAnsi="Century Gothic"/>
          <w:b/>
          <w:bCs/>
          <w:sz w:val="22"/>
          <w:szCs w:val="22"/>
          <w:bdr w:val="none" w:sz="0" w:space="0" w:color="auto" w:frame="1"/>
          <w:lang w:eastAsia="en-GB"/>
        </w:rPr>
        <w:t>Individuals within the organisation</w:t>
      </w:r>
      <w:r w:rsidRPr="00C973C8">
        <w:rPr>
          <w:rFonts w:ascii="Century Gothic" w:hAnsi="Century Gothic"/>
          <w:sz w:val="22"/>
          <w:szCs w:val="22"/>
          <w:lang w:eastAsia="en-GB"/>
        </w:rPr>
        <w:t> – this will be decided on the basis of who needs to know what information in order to keep children safe according to the principles below.</w:t>
      </w:r>
    </w:p>
    <w:p w14:paraId="2518E290" w14:textId="77777777" w:rsidR="00CF0179" w:rsidRPr="00C973C8" w:rsidRDefault="00CF0179"/>
    <w:sectPr w:rsidR="00CF0179" w:rsidRPr="00C973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74118"/>
    <w:multiLevelType w:val="multilevel"/>
    <w:tmpl w:val="09CE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8C1C30"/>
    <w:multiLevelType w:val="multilevel"/>
    <w:tmpl w:val="28B2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D2615D"/>
    <w:multiLevelType w:val="multilevel"/>
    <w:tmpl w:val="089A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1224040">
    <w:abstractNumId w:val="0"/>
  </w:num>
  <w:num w:numId="2" w16cid:durableId="967977747">
    <w:abstractNumId w:val="2"/>
  </w:num>
  <w:num w:numId="3" w16cid:durableId="5401736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D18"/>
    <w:rsid w:val="006D6D18"/>
    <w:rsid w:val="00C973C8"/>
    <w:rsid w:val="00CF0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A7759"/>
  <w15:chartTrackingRefBased/>
  <w15:docId w15:val="{C43939E2-0E75-4A78-8FF4-542FD652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88999878523D47BDA5EC679A0AA3F0" ma:contentTypeVersion="16" ma:contentTypeDescription="Create a new document." ma:contentTypeScope="" ma:versionID="b19fdc96513e4a1b836fe690d0ab8ee4">
  <xsd:schema xmlns:xsd="http://www.w3.org/2001/XMLSchema" xmlns:xs="http://www.w3.org/2001/XMLSchema" xmlns:p="http://schemas.microsoft.com/office/2006/metadata/properties" xmlns:ns2="ad467a67-de31-46ed-8662-6a6c786f40dd" xmlns:ns3="52ab785c-a988-4012-a900-a4fe66f35304" targetNamespace="http://schemas.microsoft.com/office/2006/metadata/properties" ma:root="true" ma:fieldsID="518391c63afb10b9311e945fe70e6970" ns2:_="" ns3:_="">
    <xsd:import namespace="ad467a67-de31-46ed-8662-6a6c786f40dd"/>
    <xsd:import namespace="52ab785c-a988-4012-a900-a4fe66f353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67a67-de31-46ed-8662-6a6c786f4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0085f3-f3aa-4c24-a97d-d44d67fa21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ab785c-a988-4012-a900-a4fe66f35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f413cd-6461-4590-a2f5-993376fba7f7}" ma:internalName="TaxCatchAll" ma:showField="CatchAllData" ma:web="52ab785c-a988-4012-a900-a4fe66f353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467a67-de31-46ed-8662-6a6c786f40dd">
      <Terms xmlns="http://schemas.microsoft.com/office/infopath/2007/PartnerControls"/>
    </lcf76f155ced4ddcb4097134ff3c332f>
    <TaxCatchAll xmlns="52ab785c-a988-4012-a900-a4fe66f3530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433CA-8A5C-4D17-BFA0-8D71066F9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67a67-de31-46ed-8662-6a6c786f40dd"/>
    <ds:schemaRef ds:uri="52ab785c-a988-4012-a900-a4fe66f353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7235A-8D9A-4733-A127-90A67D5E9F38}">
  <ds:schemaRefs>
    <ds:schemaRef ds:uri="http://schemas.microsoft.com/office/2006/metadata/properties"/>
    <ds:schemaRef ds:uri="http://schemas.microsoft.com/office/infopath/2007/PartnerControls"/>
    <ds:schemaRef ds:uri="ad467a67-de31-46ed-8662-6a6c786f40dd"/>
    <ds:schemaRef ds:uri="52ab785c-a988-4012-a900-a4fe66f35304"/>
  </ds:schemaRefs>
</ds:datastoreItem>
</file>

<file path=customXml/itemProps3.xml><?xml version="1.0" encoding="utf-8"?>
<ds:datastoreItem xmlns:ds="http://schemas.openxmlformats.org/officeDocument/2006/customXml" ds:itemID="{E67694F7-57D7-444D-AD84-69E7EAD76A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601</Words>
  <Characters>3432</Characters>
  <Application>Microsoft Office Word</Application>
  <DocSecurity>0</DocSecurity>
  <Lines>28</Lines>
  <Paragraphs>8</Paragraphs>
  <ScaleCrop>false</ScaleCrop>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Barnett</dc:creator>
  <cp:keywords/>
  <dc:description/>
  <cp:lastModifiedBy>Sian Barnett</cp:lastModifiedBy>
  <cp:revision>2</cp:revision>
  <dcterms:created xsi:type="dcterms:W3CDTF">2022-10-20T13:00:00Z</dcterms:created>
  <dcterms:modified xsi:type="dcterms:W3CDTF">2022-11-29T10:21:00Z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0x0101001D88999878523D47BDA5EC679A0AA3F0</vt:lpwstr>
  </property>
  <property fmtid="{D5CDD505-2E9C-101B-9397-08002B2CF9AE}" pid="3" name="MediaServiceImageTags">
    <vt:lpwstr/>
  </property>
</Properties>
</file>